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E08" w:rsidRDefault="006337A2">
      <w:pPr>
        <w:rPr>
          <w:rFonts w:ascii="FrutigerLTStd-Roman" w:hAnsi="FrutigerLTStd-Roman" w:cs="FrutigerLTStd-Roman"/>
          <w:color w:val="00006C"/>
          <w:sz w:val="32"/>
          <w:szCs w:val="32"/>
        </w:rPr>
      </w:pPr>
      <w:r>
        <w:rPr>
          <w:rFonts w:ascii="FrutigerLTStd-Roman" w:hAnsi="FrutigerLTStd-Roman" w:cs="FrutigerLTStd-Roman"/>
          <w:color w:val="00006C"/>
          <w:sz w:val="32"/>
          <w:szCs w:val="32"/>
        </w:rPr>
        <w:t>Übersicht: Das sind die Vor- und Nachteile der jeweiligen externen Partner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337A2" w:rsidTr="006337A2">
        <w:tc>
          <w:tcPr>
            <w:tcW w:w="3116" w:type="dxa"/>
          </w:tcPr>
          <w:p w:rsidR="006337A2" w:rsidRPr="006337A2" w:rsidRDefault="006337A2">
            <w:pPr>
              <w:rPr>
                <w:lang w:val="en-US"/>
              </w:rPr>
            </w:pPr>
          </w:p>
        </w:tc>
        <w:tc>
          <w:tcPr>
            <w:tcW w:w="3117" w:type="dxa"/>
          </w:tcPr>
          <w:p w:rsidR="006337A2" w:rsidRDefault="006337A2">
            <w:r>
              <w:rPr>
                <w:rFonts w:ascii="FrutigerLTStd-BoldCn" w:hAnsi="FrutigerLTStd-BoldCn" w:cs="FrutigerLTStd-BoldCn"/>
                <w:b/>
                <w:bCs/>
                <w:color w:val="00006C"/>
                <w:sz w:val="20"/>
                <w:szCs w:val="20"/>
              </w:rPr>
              <w:t>Vorteile</w:t>
            </w:r>
          </w:p>
        </w:tc>
        <w:tc>
          <w:tcPr>
            <w:tcW w:w="3117" w:type="dxa"/>
          </w:tcPr>
          <w:p w:rsidR="006337A2" w:rsidRDefault="006337A2">
            <w:r>
              <w:rPr>
                <w:rFonts w:ascii="FrutigerLTStd-BoldCn" w:hAnsi="FrutigerLTStd-BoldCn" w:cs="FrutigerLTStd-BoldCn"/>
                <w:b/>
                <w:bCs/>
                <w:color w:val="00006C"/>
                <w:sz w:val="20"/>
                <w:szCs w:val="20"/>
              </w:rPr>
              <w:t>Nachteile</w:t>
            </w:r>
          </w:p>
        </w:tc>
      </w:tr>
      <w:tr w:rsidR="006337A2" w:rsidTr="006337A2">
        <w:tc>
          <w:tcPr>
            <w:tcW w:w="3116" w:type="dxa"/>
          </w:tcPr>
          <w:p w:rsidR="006337A2" w:rsidRDefault="006337A2">
            <w:r>
              <w:rPr>
                <w:rFonts w:ascii="FrutigerLTStd-BoldCn" w:hAnsi="FrutigerLTStd-BoldCn" w:cs="FrutigerLTStd-BoldCn"/>
                <w:b/>
                <w:bCs/>
                <w:color w:val="00006C"/>
                <w:sz w:val="20"/>
                <w:szCs w:val="20"/>
              </w:rPr>
              <w:t>Sozialversicherungsträger</w:t>
            </w:r>
          </w:p>
        </w:tc>
        <w:tc>
          <w:tcPr>
            <w:tcW w:w="3117" w:type="dxa"/>
          </w:tcPr>
          <w:p w:rsidR="006337A2" w:rsidRDefault="006337A2" w:rsidP="006337A2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1. Meist kostenneutrale Angebote, oft sogar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kostenfreie Maßnahmen oder finanzielle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Unterstützung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</w:p>
          <w:p w:rsidR="006337A2" w:rsidRPr="006337A2" w:rsidRDefault="006337A2" w:rsidP="006337A2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2. Qualitätsgesicherte Maßnahmen</w:t>
            </w:r>
          </w:p>
        </w:tc>
        <w:tc>
          <w:tcPr>
            <w:tcW w:w="3117" w:type="dxa"/>
          </w:tcPr>
          <w:p w:rsidR="006337A2" w:rsidRPr="006337A2" w:rsidRDefault="006337A2" w:rsidP="006337A2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Abhängig von der Versichertenlandschaft im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Unternehmen</w:t>
            </w:r>
          </w:p>
        </w:tc>
      </w:tr>
      <w:tr w:rsidR="006337A2" w:rsidTr="006337A2">
        <w:tc>
          <w:tcPr>
            <w:tcW w:w="3116" w:type="dxa"/>
          </w:tcPr>
          <w:p w:rsidR="006337A2" w:rsidRDefault="006337A2">
            <w:r>
              <w:rPr>
                <w:rFonts w:ascii="FrutigerLTStd-BoldCn" w:hAnsi="FrutigerLTStd-BoldCn" w:cs="FrutigerLTStd-BoldCn"/>
                <w:b/>
                <w:bCs/>
                <w:color w:val="00006C"/>
                <w:sz w:val="20"/>
                <w:szCs w:val="20"/>
              </w:rPr>
              <w:t>Kommerzielle Anbieter</w:t>
            </w:r>
          </w:p>
        </w:tc>
        <w:tc>
          <w:tcPr>
            <w:tcW w:w="3117" w:type="dxa"/>
          </w:tcPr>
          <w:p w:rsidR="006337A2" w:rsidRPr="006337A2" w:rsidRDefault="006337A2" w:rsidP="006337A2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1. Oft schnellere und unbürokratischere Unterstützung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2. In vielen Fällen Abrechnung mit Kostenträgern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und oft sogar Abnahme dieser Arbeiten</w:t>
            </w:r>
          </w:p>
        </w:tc>
        <w:tc>
          <w:tcPr>
            <w:tcW w:w="3117" w:type="dxa"/>
          </w:tcPr>
          <w:p w:rsidR="006337A2" w:rsidRDefault="006337A2" w:rsidP="006337A2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1. Sehr große unterschiedliche Höhen der Kosten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und Unklarheit darüber, ob die Sozialversicherungsträger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die Kosten übernehmen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</w:p>
          <w:p w:rsidR="006337A2" w:rsidRPr="006337A2" w:rsidRDefault="006337A2" w:rsidP="006337A2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2. Die Qualität der Leistungen ist manchmal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schwer durchschaubar</w:t>
            </w:r>
          </w:p>
        </w:tc>
      </w:tr>
    </w:tbl>
    <w:p w:rsidR="006337A2" w:rsidRDefault="006337A2"/>
    <w:sectPr w:rsidR="006337A2" w:rsidSect="00896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LTStd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A2"/>
    <w:rsid w:val="004C0E08"/>
    <w:rsid w:val="006337A2"/>
    <w:rsid w:val="0089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BAB8"/>
  <w15:chartTrackingRefBased/>
  <w15:docId w15:val="{5B0C56DB-42D0-42BA-B508-0B7B689B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33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576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1</cp:revision>
  <dcterms:created xsi:type="dcterms:W3CDTF">2026-08-14T10:02:00Z</dcterms:created>
  <dcterms:modified xsi:type="dcterms:W3CDTF">2026-08-14T10:04:00Z</dcterms:modified>
</cp:coreProperties>
</file>